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94880F1" w:rsidR="00F110CD" w:rsidRPr="00C84F38" w:rsidRDefault="00F110CD" w:rsidP="6D35A92B">
      <w:pPr>
        <w:pStyle w:val="Header"/>
        <w:tabs>
          <w:tab w:val="right" w:pos="9639"/>
        </w:tabs>
        <w:rPr>
          <w:noProof w:val="0"/>
          <w:sz w:val="24"/>
          <w:szCs w:val="24"/>
          <w:highlight w:val="yellow"/>
        </w:rPr>
      </w:pPr>
      <w:r w:rsidRPr="6D35A92B">
        <w:rPr>
          <w:noProof w:val="0"/>
          <w:sz w:val="24"/>
          <w:szCs w:val="24"/>
        </w:rPr>
        <w:t>3GPP TSG RA</w:t>
      </w:r>
      <w:r w:rsidR="00BA1872" w:rsidRPr="6D35A92B">
        <w:rPr>
          <w:noProof w:val="0"/>
          <w:sz w:val="24"/>
          <w:szCs w:val="24"/>
        </w:rPr>
        <w:t xml:space="preserve">N WG1 </w:t>
      </w:r>
      <w:r w:rsidR="00B65452" w:rsidRPr="6D35A92B">
        <w:rPr>
          <w:noProof w:val="0"/>
          <w:sz w:val="24"/>
          <w:szCs w:val="24"/>
        </w:rPr>
        <w:t>#96</w:t>
      </w:r>
      <w:r w:rsidR="001348FE">
        <w:rPr>
          <w:bCs/>
          <w:noProof w:val="0"/>
          <w:sz w:val="24"/>
          <w:szCs w:val="24"/>
        </w:rPr>
        <w:tab/>
      </w:r>
      <w:r w:rsidR="00BA1872" w:rsidRPr="6D35A92B">
        <w:rPr>
          <w:noProof w:val="0"/>
          <w:sz w:val="24"/>
          <w:szCs w:val="24"/>
        </w:rPr>
        <w:t>R1-1901849</w:t>
      </w:r>
    </w:p>
    <w:p w14:paraId="30E02940" w14:textId="4680A578" w:rsidR="00CA26CE" w:rsidRDefault="00B65452" w:rsidP="00CA26CE">
      <w:pPr>
        <w:pStyle w:val="Header"/>
        <w:rPr>
          <w:bCs/>
          <w:noProof w:val="0"/>
          <w:sz w:val="24"/>
          <w:szCs w:val="24"/>
        </w:rPr>
      </w:pPr>
      <w:r>
        <w:rPr>
          <w:bCs/>
          <w:noProof w:val="0"/>
          <w:sz w:val="24"/>
          <w:szCs w:val="24"/>
        </w:rPr>
        <w:t>Athens, Greece, 25</w:t>
      </w:r>
      <w:r w:rsidRPr="00B65452">
        <w:rPr>
          <w:bCs/>
          <w:noProof w:val="0"/>
          <w:sz w:val="24"/>
          <w:szCs w:val="24"/>
          <w:vertAlign w:val="superscript"/>
        </w:rPr>
        <w:t>th</w:t>
      </w:r>
      <w:r>
        <w:rPr>
          <w:bCs/>
          <w:noProof w:val="0"/>
          <w:sz w:val="24"/>
          <w:szCs w:val="24"/>
        </w:rPr>
        <w:t xml:space="preserve"> February – 1</w:t>
      </w:r>
      <w:r w:rsidRPr="00B65452">
        <w:rPr>
          <w:bCs/>
          <w:noProof w:val="0"/>
          <w:sz w:val="24"/>
          <w:szCs w:val="24"/>
          <w:vertAlign w:val="superscript"/>
        </w:rPr>
        <w:t>st</w:t>
      </w:r>
      <w:r>
        <w:rPr>
          <w:bCs/>
          <w:noProof w:val="0"/>
          <w:sz w:val="24"/>
          <w:szCs w:val="24"/>
        </w:rPr>
        <w:t xml:space="preserve"> March</w:t>
      </w:r>
      <w:r w:rsidR="00BA1872">
        <w:rPr>
          <w:bCs/>
          <w:noProof w:val="0"/>
          <w:sz w:val="24"/>
          <w:szCs w:val="24"/>
        </w:rPr>
        <w:t>, 2019</w:t>
      </w:r>
    </w:p>
    <w:p w14:paraId="2CFE1919" w14:textId="77777777" w:rsidR="00850D96" w:rsidRPr="00850D96" w:rsidRDefault="00850D96" w:rsidP="00CA26CE">
      <w:pPr>
        <w:pStyle w:val="Header"/>
        <w:rPr>
          <w:bCs/>
          <w:noProof w:val="0"/>
          <w:sz w:val="24"/>
          <w:lang w:val="en-GB" w:eastAsia="ja-JP"/>
        </w:rPr>
      </w:pPr>
    </w:p>
    <w:p w14:paraId="30E02941" w14:textId="61856BE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4A4D99">
        <w:rPr>
          <w:rFonts w:cs="Arial"/>
          <w:b/>
          <w:bCs/>
          <w:sz w:val="24"/>
          <w:szCs w:val="24"/>
        </w:rPr>
        <w:t>.10.1.3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6B8423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4A4D99">
        <w:rPr>
          <w:rFonts w:ascii="Arial" w:hAnsi="Arial" w:cs="Arial"/>
          <w:b/>
          <w:bCs/>
          <w:sz w:val="24"/>
        </w:rPr>
        <w:t xml:space="preserve">DL and UL based NR positioning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298068D8" w14:textId="378BCE3D" w:rsidR="00496B60" w:rsidRDefault="00496B60" w:rsidP="00496B60">
      <w:bookmarkStart w:id="0" w:name="_Hlk510705081"/>
      <w:r>
        <w:t>Work on the current study item on positioning support in NR [1] continued at RAN1#1901-AH and identified solutions to support in NR. The focus of the work has been on RAT-dependent solutions. DL, UL, and DL+UL based solutions were listed and agreed to be supported for RAT-dependent positioning solutions in NR. This contribution focuses on the DL+UL based solutions. See our companion contributions [2] and [3] for Nokia’s view on the DL and UL based solutions respectively. At RAN1#1901-AH the following agreements were made with regard to DL+UL solutions on NR positioning studies taken from [4]:</w:t>
      </w:r>
    </w:p>
    <w:p w14:paraId="3E42F585" w14:textId="38E9D495" w:rsidR="00496B60" w:rsidRDefault="00496B60" w:rsidP="00496B60">
      <w:r w:rsidRPr="00C1185C">
        <w:rPr>
          <w:highlight w:val="green"/>
        </w:rPr>
        <w:t>Agreement:</w:t>
      </w:r>
    </w:p>
    <w:p w14:paraId="7D8D2500" w14:textId="38E97986" w:rsidR="00496B60" w:rsidRPr="00C1185C" w:rsidRDefault="00496B60" w:rsidP="00496B60">
      <w:pPr>
        <w:rPr>
          <w:lang w:val="en-US"/>
        </w:rPr>
      </w:pPr>
      <w:r w:rsidRPr="00496B60">
        <w:rPr>
          <w:lang w:val="en-US"/>
        </w:rPr>
        <w:t>Round-trip time (RTT) with one or more neighboring gNBs/TRPs for NR DL and UL positioning should be supported for FR1 and FR2</w:t>
      </w:r>
    </w:p>
    <w:p w14:paraId="71230483" w14:textId="4E92F1B0" w:rsidR="00305297" w:rsidRDefault="007820D0" w:rsidP="00A23DCA">
      <w:pPr>
        <w:pStyle w:val="Heading1"/>
      </w:pPr>
      <w:r>
        <w:t>Discussion</w:t>
      </w:r>
    </w:p>
    <w:p w14:paraId="6088353B" w14:textId="3EA33162" w:rsidR="00A31E79" w:rsidRDefault="00A31E79" w:rsidP="00A31E79">
      <w:pPr>
        <w:pStyle w:val="Heading2"/>
      </w:pPr>
      <w:r>
        <w:t>Multi-RTT</w:t>
      </w:r>
    </w:p>
    <w:p w14:paraId="4D46C5E1" w14:textId="096DCBFF" w:rsidR="008D15B1" w:rsidRDefault="008D15B1" w:rsidP="006A0DD3">
      <w:r>
        <w:t>O</w:t>
      </w:r>
      <w:r w:rsidR="00111F44">
        <w:t>ur pervious contirubtion</w:t>
      </w:r>
      <w:bookmarkEnd w:id="0"/>
      <w:r w:rsidR="00111F44">
        <w:t xml:space="preserve"> [5]</w:t>
      </w:r>
      <w:r>
        <w:t xml:space="preserve"> discussed our views on Multi-cell RTT positioning and we continue that discussion here. Multi-RTT methods should be used when there are stringent positioning accuracy and imperfect network synchronization.  </w:t>
      </w:r>
    </w:p>
    <w:p w14:paraId="2F2221AE" w14:textId="5437BE3E" w:rsidR="008D15B1" w:rsidRDefault="008D15B1" w:rsidP="008D15B1">
      <w:r>
        <w:t xml:space="preserve">One drawback to a practical implementation of RTT based methods is the additional resources that it requires as you need an UL RS and a DL RS to make the timing estimation on. One possible way to think about multi-cell RTT is to implement both OTDOA and UTDOA. This would require a lot of network resources for one UE to position itself. If there are a small number of UEs that wish to position then lots of network resources need to be used for the DL portion (i.e., PRS transmission). If there are a large number of UEs then a large amount of UL signals would need to be received at multiple base stations (e.g., SRS). </w:t>
      </w:r>
    </w:p>
    <w:p w14:paraId="0900A5BF" w14:textId="2BB56EB8" w:rsidR="008D15B1" w:rsidRDefault="008D15B1" w:rsidP="008D15B1">
      <w:r>
        <w:t xml:space="preserve">The decision to use multi-RTT method can be made at the location management function (LMF) where it may know the required accuracy for a specific UE/ use case or be loosely aware of the synchronization level in the network. However, if the UE is acting as the trigger for the positioning solution this could be quite costly from the network standpoint and may be unnecessary in some cases. </w:t>
      </w:r>
    </w:p>
    <w:p w14:paraId="41B7C0E6" w14:textId="790B37F1" w:rsidR="008D15B1" w:rsidRDefault="008D15B1" w:rsidP="008D15B1">
      <w:r w:rsidRPr="008D15B1">
        <w:rPr>
          <w:b/>
        </w:rPr>
        <w:t>Observation 1</w:t>
      </w:r>
      <w:r>
        <w:t xml:space="preserve">: </w:t>
      </w:r>
      <w:r w:rsidR="00764FE8">
        <w:t>UE</w:t>
      </w:r>
      <w:r>
        <w:t xml:space="preserve"> triggering of multi-RTT (e.g. UE as LCS</w:t>
      </w:r>
      <w:r w:rsidR="000B1E08">
        <w:t xml:space="preserve"> client</w:t>
      </w:r>
      <w:r>
        <w:t>) could cause high overhead of network resources</w:t>
      </w:r>
      <w:r w:rsidR="00192E7A">
        <w:t xml:space="preserve"> if PRS on-demand is allowed</w:t>
      </w:r>
      <w:r>
        <w:t xml:space="preserve">. </w:t>
      </w:r>
    </w:p>
    <w:p w14:paraId="5B12FC48" w14:textId="77777777" w:rsidR="008D15B1" w:rsidRDefault="008D15B1" w:rsidP="008D15B1">
      <w:r>
        <w:t xml:space="preserve">Determining how to solve this issue may be outside the scope of RAN1 however. </w:t>
      </w:r>
    </w:p>
    <w:p w14:paraId="6A6556B1" w14:textId="3FB0EC5A" w:rsidR="008D15B1" w:rsidRDefault="008D15B1" w:rsidP="008D15B1">
      <w:r w:rsidRPr="008D15B1">
        <w:rPr>
          <w:b/>
        </w:rPr>
        <w:t>Proposal 1</w:t>
      </w:r>
      <w:r>
        <w:t xml:space="preserve">: Ask RAN2/3 to take resource overhead into consideration when designing the signalling details of Multi-RTT. </w:t>
      </w:r>
      <w:r w:rsidR="00192E7A">
        <w:t>RAN1 should also consider if PRS on-demand is supported for multi-RTT if it is introduced for NR.</w:t>
      </w:r>
      <w:r>
        <w:t xml:space="preserve"> </w:t>
      </w:r>
    </w:p>
    <w:p w14:paraId="4B72DAFD" w14:textId="6849AD43" w:rsidR="008D15B1" w:rsidRDefault="008D15B1" w:rsidP="008D15B1">
      <w:r w:rsidRPr="087AA3FB">
        <w:rPr>
          <w:b/>
          <w:bCs/>
        </w:rPr>
        <w:t>Observation 2</w:t>
      </w:r>
      <w:r>
        <w:t xml:space="preserve">: At least the following potential issues should be taken into consideration when </w:t>
      </w:r>
      <w:r w:rsidR="00764FE8">
        <w:t>specifying</w:t>
      </w:r>
      <w:r>
        <w:t xml:space="preserve"> RTT based positioning methods:</w:t>
      </w:r>
    </w:p>
    <w:p w14:paraId="3543C60F" w14:textId="77777777" w:rsidR="008D15B1" w:rsidRPr="0068527B" w:rsidRDefault="008D15B1" w:rsidP="008D15B1">
      <w:pPr>
        <w:pStyle w:val="ListParagraph"/>
        <w:numPr>
          <w:ilvl w:val="0"/>
          <w:numId w:val="15"/>
        </w:numPr>
        <w:spacing w:after="160" w:line="259" w:lineRule="auto"/>
        <w:rPr>
          <w:sz w:val="20"/>
          <w:lang w:val="en-US"/>
        </w:rPr>
      </w:pPr>
      <w:r w:rsidRPr="0068527B">
        <w:rPr>
          <w:sz w:val="20"/>
          <w:lang w:val="en-US"/>
        </w:rPr>
        <w:t xml:space="preserve">Scalability with dense number of UEs </w:t>
      </w:r>
    </w:p>
    <w:p w14:paraId="0411FD1A" w14:textId="77777777" w:rsidR="008D15B1" w:rsidRPr="0068527B" w:rsidRDefault="008D15B1" w:rsidP="008D15B1">
      <w:pPr>
        <w:pStyle w:val="ListParagraph"/>
        <w:numPr>
          <w:ilvl w:val="0"/>
          <w:numId w:val="15"/>
        </w:numPr>
        <w:spacing w:after="160" w:line="259" w:lineRule="auto"/>
        <w:rPr>
          <w:sz w:val="20"/>
          <w:lang w:val="en-US"/>
        </w:rPr>
      </w:pPr>
      <w:r w:rsidRPr="0068527B">
        <w:rPr>
          <w:sz w:val="20"/>
          <w:lang w:val="en-US"/>
        </w:rPr>
        <w:t>Hearability (in particular at FR2)</w:t>
      </w:r>
    </w:p>
    <w:p w14:paraId="218C2DC3" w14:textId="76E3CA71" w:rsidR="00420618" w:rsidRDefault="008D15B1" w:rsidP="00420618">
      <w:pPr>
        <w:pStyle w:val="ListParagraph"/>
        <w:numPr>
          <w:ilvl w:val="0"/>
          <w:numId w:val="15"/>
        </w:numPr>
        <w:spacing w:after="160" w:line="259" w:lineRule="auto"/>
        <w:rPr>
          <w:sz w:val="20"/>
        </w:rPr>
      </w:pPr>
      <w:r w:rsidRPr="00C97BB6">
        <w:rPr>
          <w:sz w:val="20"/>
        </w:rPr>
        <w:t>Latency concerns</w:t>
      </w:r>
    </w:p>
    <w:p w14:paraId="1138CE89" w14:textId="14954E15" w:rsidR="00420618" w:rsidRDefault="53914D4D" w:rsidP="00420618">
      <w:pPr>
        <w:rPr>
          <w:szCs w:val="22"/>
        </w:rPr>
      </w:pPr>
      <w:r>
        <w:lastRenderedPageBreak/>
        <w:t>The UL hearability could be a potential bottleneck to limit the usage of multi-cell RTT based positioning technology. The TOA estimation accuracy of UL signals is a challenge for far neighbour cells due to relative low transmit power at the UE side. Furthermore, for FR2, there exists a large difference between DL and UL link budget (e.g., up to 25dB for 28GHz system). The difference further decreases the hearability for UL signalling compared with the DL signalling. In addition to the link budget difference a UE may also beamform its transmission at FR2. Without proper beam management between the UE and a neighbour cell, the hearability of UL signalling further decreases.</w:t>
      </w:r>
    </w:p>
    <w:p w14:paraId="52B3D4FD" w14:textId="32431DB4" w:rsidR="00420618" w:rsidRDefault="53914D4D" w:rsidP="00420618">
      <w:pPr>
        <w:rPr>
          <w:szCs w:val="22"/>
        </w:rPr>
      </w:pPr>
      <w:r>
        <w:t xml:space="preserve">One potential way to overcome the UL hearability problem is to use the serving gNB as a relay for the UE to still estimate the propagation delay between the neighbour gNB and the UE even if the neighbour gNB can’t receive the UE UL signal. Figure 1 shows an example of this solution. The propagation time between the UE and the serving gNB is estimated as part of multi-RTT, e.g., based on serving gNB Rx-Tx timing difference measurement and UE Rx-Tx timing difference measurement. Furthermore, the LOS propagation time between the gNBs is known (based on their positions). Therefore, after receiving a RS from the serving gNB the propagation time between the UE and the neighbour gNB can be estimated. </w:t>
      </w:r>
      <w:r w:rsidRPr="53914D4D">
        <w:rPr>
          <w:lang w:val="en-US"/>
        </w:rPr>
        <w:t>One option for the RS to be used could be the SSB of the serving cell as an example.</w:t>
      </w:r>
      <w:r>
        <w:t xml:space="preserve">  </w:t>
      </w:r>
    </w:p>
    <w:p w14:paraId="34CB92D7" w14:textId="64680D05" w:rsidR="000F7FBC" w:rsidRDefault="000F7FBC" w:rsidP="00C812CB">
      <w:pPr>
        <w:jc w:val="center"/>
        <w:rPr>
          <w:szCs w:val="22"/>
        </w:rPr>
      </w:pPr>
      <w:r>
        <w:rPr>
          <w:noProof/>
          <w:szCs w:val="22"/>
        </w:rPr>
        <w:drawing>
          <wp:inline distT="0" distB="0" distL="0" distR="0" wp14:anchorId="6646E2B7" wp14:editId="5F2B1F99">
            <wp:extent cx="4633559" cy="2635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ulti-RTT_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73294" cy="2657849"/>
                    </a:xfrm>
                    <a:prstGeom prst="rect">
                      <a:avLst/>
                    </a:prstGeom>
                  </pic:spPr>
                </pic:pic>
              </a:graphicData>
            </a:graphic>
          </wp:inline>
        </w:drawing>
      </w:r>
    </w:p>
    <w:p w14:paraId="06C85522" w14:textId="0D836738" w:rsidR="000F7FBC" w:rsidRPr="000F7FBC" w:rsidRDefault="000F7FBC" w:rsidP="00C812CB">
      <w:pPr>
        <w:jc w:val="center"/>
        <w:rPr>
          <w:sz w:val="18"/>
          <w:szCs w:val="22"/>
        </w:rPr>
      </w:pPr>
      <w:r w:rsidRPr="000F7FBC">
        <w:rPr>
          <w:sz w:val="18"/>
          <w:szCs w:val="22"/>
        </w:rPr>
        <w:t xml:space="preserve">Figure 1. Example of RS transmission </w:t>
      </w:r>
      <w:r w:rsidR="00B57A2D">
        <w:rPr>
          <w:sz w:val="18"/>
          <w:szCs w:val="22"/>
        </w:rPr>
        <w:t xml:space="preserve">scheme </w:t>
      </w:r>
      <w:r w:rsidRPr="000F7FBC">
        <w:rPr>
          <w:sz w:val="18"/>
          <w:szCs w:val="22"/>
        </w:rPr>
        <w:t>for overcoming UL hearability for multi-cell RTT.</w:t>
      </w:r>
    </w:p>
    <w:p w14:paraId="400B3563" w14:textId="7F53573D" w:rsidR="000F7FBC" w:rsidRPr="00C812CB" w:rsidRDefault="001301C2" w:rsidP="001301C2">
      <w:pPr>
        <w:rPr>
          <w:szCs w:val="22"/>
          <w:lang w:val="en-US"/>
        </w:rPr>
      </w:pPr>
      <w:r>
        <w:rPr>
          <w:szCs w:val="22"/>
        </w:rPr>
        <w:t>In particular at FR2</w:t>
      </w:r>
      <w:r w:rsidR="00536BAA">
        <w:rPr>
          <w:szCs w:val="22"/>
        </w:rPr>
        <w:t>,</w:t>
      </w:r>
      <w:r>
        <w:rPr>
          <w:szCs w:val="22"/>
        </w:rPr>
        <w:t xml:space="preserve"> this can b</w:t>
      </w:r>
      <w:r w:rsidR="006D5C99">
        <w:rPr>
          <w:szCs w:val="22"/>
        </w:rPr>
        <w:t>e an effective way</w:t>
      </w:r>
      <w:r>
        <w:rPr>
          <w:szCs w:val="22"/>
        </w:rPr>
        <w:t xml:space="preserve"> to overcome the UL hearability problem. The impact to the specification to realize this is quite minor as well. Only one additional measurement would need to be introduced. </w:t>
      </w:r>
    </w:p>
    <w:p w14:paraId="1BDA5993" w14:textId="0970FB70" w:rsidR="00420618" w:rsidRPr="006D5C99" w:rsidRDefault="001301C2" w:rsidP="006D5C99">
      <w:pPr>
        <w:rPr>
          <w:szCs w:val="22"/>
          <w:lang w:val="en-US"/>
        </w:rPr>
      </w:pPr>
      <w:r w:rsidRPr="001301C2">
        <w:rPr>
          <w:b/>
          <w:szCs w:val="22"/>
          <w:lang w:val="en-US"/>
        </w:rPr>
        <w:t>Proposal 2</w:t>
      </w:r>
      <w:r>
        <w:rPr>
          <w:szCs w:val="22"/>
          <w:lang w:val="en-US"/>
        </w:rPr>
        <w:t xml:space="preserve">: Introduce a </w:t>
      </w:r>
      <w:r w:rsidR="006D5C99">
        <w:rPr>
          <w:szCs w:val="22"/>
          <w:lang w:val="en-US"/>
        </w:rPr>
        <w:t>TOA</w:t>
      </w:r>
      <w:r>
        <w:rPr>
          <w:szCs w:val="22"/>
          <w:lang w:val="en-US"/>
        </w:rPr>
        <w:t xml:space="preserve"> measurement at the gNB for </w:t>
      </w:r>
      <w:r w:rsidR="006D5C99">
        <w:rPr>
          <w:szCs w:val="22"/>
          <w:lang w:val="en-US"/>
        </w:rPr>
        <w:t xml:space="preserve">a </w:t>
      </w:r>
      <w:r w:rsidR="00536BAA">
        <w:rPr>
          <w:szCs w:val="22"/>
          <w:lang w:val="en-US"/>
        </w:rPr>
        <w:t xml:space="preserve">reference signal </w:t>
      </w:r>
      <w:r>
        <w:rPr>
          <w:szCs w:val="22"/>
          <w:lang w:val="en-US"/>
        </w:rPr>
        <w:t xml:space="preserve">from </w:t>
      </w:r>
      <w:r w:rsidR="006D5C99">
        <w:rPr>
          <w:szCs w:val="22"/>
          <w:lang w:val="en-US"/>
        </w:rPr>
        <w:t>another gNB. FFS the exact RS to be used</w:t>
      </w:r>
      <w:r>
        <w:rPr>
          <w:szCs w:val="22"/>
          <w:lang w:val="en-US"/>
        </w:rPr>
        <w:t>.</w:t>
      </w:r>
    </w:p>
    <w:p w14:paraId="5709C730" w14:textId="4353FDA1" w:rsidR="007E1D9E" w:rsidRDefault="007E1D9E" w:rsidP="007E1D9E">
      <w:pPr>
        <w:pStyle w:val="Heading2"/>
      </w:pPr>
      <w:r>
        <w:t>Idle and Inactive mode positioning</w:t>
      </w:r>
    </w:p>
    <w:p w14:paraId="43AADD59" w14:textId="085C4683" w:rsidR="000473D1" w:rsidRDefault="000473D1" w:rsidP="000473D1">
      <w:pPr>
        <w:spacing w:after="160" w:line="259" w:lineRule="auto"/>
      </w:pPr>
      <w:r>
        <w:t xml:space="preserve">At RAN1#1901-AH it was agreed to further study if NR based positioning for UEs in RRC idle and/or inactive mode was beneficial to support. If a UE not in RRC connected mode want to perform multi-RTT positioning it may need to first come into connected mode through signalling with its serving gNB. If this is the case it will need to do this prior to making RSTD measurements in the downlink and sending an uplink reference signal for the gNBs/LMUs to measure RTOA on. This could be very costly from a UE power consumption point of view. </w:t>
      </w:r>
    </w:p>
    <w:p w14:paraId="279590FD" w14:textId="04FB271B" w:rsidR="000473D1" w:rsidRDefault="000473D1" w:rsidP="000473D1">
      <w:pPr>
        <w:spacing w:after="160" w:line="259" w:lineRule="auto"/>
      </w:pPr>
      <w:r w:rsidRPr="000473D1">
        <w:rPr>
          <w:b/>
        </w:rPr>
        <w:t>Observation 3</w:t>
      </w:r>
      <w:r>
        <w:t>: UEs in RRC idle or RRC inactive mode may experience high power consumption during multi-RTT positioning</w:t>
      </w:r>
      <w:r w:rsidR="00EE74EA">
        <w:t xml:space="preserve"> if required to first move to RRC connected prior to measurement</w:t>
      </w:r>
      <w:r>
        <w:t xml:space="preserve">. </w:t>
      </w:r>
    </w:p>
    <w:p w14:paraId="4517D5C2" w14:textId="12C79126" w:rsidR="000473D1" w:rsidRPr="000473D1" w:rsidRDefault="000473D1" w:rsidP="000473D1">
      <w:pPr>
        <w:spacing w:after="160" w:line="259" w:lineRule="auto"/>
      </w:pPr>
      <w:r w:rsidRPr="000473D1">
        <w:rPr>
          <w:b/>
        </w:rPr>
        <w:t xml:space="preserve">Proposal </w:t>
      </w:r>
      <w:r w:rsidR="00825B74">
        <w:rPr>
          <w:b/>
        </w:rPr>
        <w:t>3</w:t>
      </w:r>
      <w:r>
        <w:t>: NR positioning should support RRC idle and RRC inactive mode positioning</w:t>
      </w:r>
      <w:r w:rsidR="000F7FBC">
        <w:t xml:space="preserve"> without requiring all UEs to move to RRC connected mode</w:t>
      </w:r>
      <w:r>
        <w:t xml:space="preserve">. </w:t>
      </w:r>
    </w:p>
    <w:p w14:paraId="10445A01" w14:textId="480CC7E1" w:rsidR="00885580" w:rsidRDefault="007820D0" w:rsidP="00885580">
      <w:pPr>
        <w:pStyle w:val="Heading1"/>
      </w:pPr>
      <w:r>
        <w:t>Conclusion</w:t>
      </w:r>
    </w:p>
    <w:p w14:paraId="34C2B17F" w14:textId="77777777" w:rsidR="00825B74" w:rsidRDefault="00825B74" w:rsidP="00825B74">
      <w:r w:rsidRPr="008D15B1">
        <w:rPr>
          <w:b/>
        </w:rPr>
        <w:t>Observation 1</w:t>
      </w:r>
      <w:r>
        <w:t xml:space="preserve">: UE triggering of multi-RTT (e.g. UE as LCS client) could cause high overhead of network resources if PRS on-demand is allowed. </w:t>
      </w:r>
    </w:p>
    <w:p w14:paraId="28BE3306" w14:textId="77777777" w:rsidR="00825B74" w:rsidRDefault="00825B74" w:rsidP="00825B74">
      <w:r w:rsidRPr="008D15B1">
        <w:rPr>
          <w:b/>
        </w:rPr>
        <w:t>Proposal 1</w:t>
      </w:r>
      <w:r>
        <w:t xml:space="preserve">: Ask RAN2/3 to take resource overhead into consideration when designing the signalling details of Multi-RTT. RAN1 should also consider if PRS on-demand is supported for multi-RTT if it is introduced for NR. </w:t>
      </w:r>
    </w:p>
    <w:p w14:paraId="23B8479F" w14:textId="77777777" w:rsidR="00825B74" w:rsidRDefault="00825B74" w:rsidP="00825B74">
      <w:r w:rsidRPr="087AA3FB">
        <w:rPr>
          <w:b/>
          <w:bCs/>
        </w:rPr>
        <w:t>Observation 2</w:t>
      </w:r>
      <w:r>
        <w:t>: At least the following potential issues should be taken into consideration when specifying RTT based positioning methods:</w:t>
      </w:r>
    </w:p>
    <w:p w14:paraId="6FA05B73" w14:textId="77777777" w:rsidR="00825B74" w:rsidRPr="0068527B" w:rsidRDefault="00825B74" w:rsidP="00825B74">
      <w:pPr>
        <w:pStyle w:val="ListParagraph"/>
        <w:numPr>
          <w:ilvl w:val="0"/>
          <w:numId w:val="15"/>
        </w:numPr>
        <w:spacing w:after="160" w:line="259" w:lineRule="auto"/>
        <w:rPr>
          <w:sz w:val="20"/>
          <w:lang w:val="en-US"/>
        </w:rPr>
      </w:pPr>
      <w:r w:rsidRPr="0068527B">
        <w:rPr>
          <w:sz w:val="20"/>
          <w:lang w:val="en-US"/>
        </w:rPr>
        <w:t xml:space="preserve">Scalability with dense number of UEs </w:t>
      </w:r>
    </w:p>
    <w:p w14:paraId="75E14FEC" w14:textId="77777777" w:rsidR="00825B74" w:rsidRPr="0068527B" w:rsidRDefault="00825B74" w:rsidP="00825B74">
      <w:pPr>
        <w:pStyle w:val="ListParagraph"/>
        <w:numPr>
          <w:ilvl w:val="0"/>
          <w:numId w:val="15"/>
        </w:numPr>
        <w:spacing w:after="160" w:line="259" w:lineRule="auto"/>
        <w:rPr>
          <w:sz w:val="20"/>
          <w:lang w:val="en-US"/>
        </w:rPr>
      </w:pPr>
      <w:r w:rsidRPr="0068527B">
        <w:rPr>
          <w:sz w:val="20"/>
          <w:lang w:val="en-US"/>
        </w:rPr>
        <w:t>Hearability (in particular at FR2)</w:t>
      </w:r>
    </w:p>
    <w:p w14:paraId="093797AE" w14:textId="47DAEA75" w:rsidR="00825B74" w:rsidRPr="00825B74" w:rsidRDefault="00825B74" w:rsidP="00885580">
      <w:pPr>
        <w:pStyle w:val="ListParagraph"/>
        <w:numPr>
          <w:ilvl w:val="0"/>
          <w:numId w:val="15"/>
        </w:numPr>
        <w:spacing w:after="160" w:line="259" w:lineRule="auto"/>
        <w:rPr>
          <w:sz w:val="20"/>
        </w:rPr>
      </w:pPr>
      <w:r w:rsidRPr="00C97BB6">
        <w:rPr>
          <w:sz w:val="20"/>
        </w:rPr>
        <w:t>Latency concerns</w:t>
      </w:r>
    </w:p>
    <w:p w14:paraId="3FCCA86D" w14:textId="77777777" w:rsidR="00825B74" w:rsidRPr="006D5C99" w:rsidRDefault="00825B74" w:rsidP="00825B74">
      <w:pPr>
        <w:rPr>
          <w:szCs w:val="22"/>
          <w:lang w:val="en-US"/>
        </w:rPr>
      </w:pPr>
      <w:r w:rsidRPr="001301C2">
        <w:rPr>
          <w:b/>
          <w:szCs w:val="22"/>
          <w:lang w:val="en-US"/>
        </w:rPr>
        <w:t>Proposal 2</w:t>
      </w:r>
      <w:r>
        <w:rPr>
          <w:szCs w:val="22"/>
          <w:lang w:val="en-US"/>
        </w:rPr>
        <w:t>: Introduce a TOA measurement at the gNB for a reference signal from another gNB. FFS the exact RS to be used.</w:t>
      </w:r>
    </w:p>
    <w:p w14:paraId="240AF0D9" w14:textId="77777777" w:rsidR="00825B74" w:rsidRDefault="00825B74" w:rsidP="00825B74">
      <w:pPr>
        <w:spacing w:after="160" w:line="259" w:lineRule="auto"/>
      </w:pPr>
      <w:r w:rsidRPr="000473D1">
        <w:rPr>
          <w:b/>
        </w:rPr>
        <w:t>Observation 3</w:t>
      </w:r>
      <w:r>
        <w:t xml:space="preserve">: UEs in RRC idle or RRC inactive mode may experience high power consumption during multi-RTT positioning if required to first move to RRC connected prior to measurement. </w:t>
      </w:r>
    </w:p>
    <w:p w14:paraId="217C7CCE" w14:textId="0218D783" w:rsidR="00825B74" w:rsidRPr="00885580" w:rsidRDefault="00825B74" w:rsidP="00825B74">
      <w:pPr>
        <w:spacing w:after="160" w:line="259" w:lineRule="auto"/>
      </w:pPr>
      <w:r w:rsidRPr="000473D1">
        <w:rPr>
          <w:b/>
        </w:rPr>
        <w:t xml:space="preserve">Proposal </w:t>
      </w:r>
      <w:r>
        <w:rPr>
          <w:b/>
        </w:rPr>
        <w:t>3</w:t>
      </w:r>
      <w:r>
        <w:t xml:space="preserve">: NR positioning should support RRC idle and RRC inactive mode positioning without requiring all UEs to move to RRC connected mode. </w:t>
      </w:r>
    </w:p>
    <w:p w14:paraId="53CD9119" w14:textId="77777777" w:rsidR="00885580" w:rsidRPr="00ED1327" w:rsidRDefault="00885580" w:rsidP="00885580">
      <w:pPr>
        <w:pStyle w:val="Heading1"/>
        <w:numPr>
          <w:ilvl w:val="0"/>
          <w:numId w:val="0"/>
        </w:numPr>
      </w:pPr>
      <w:r>
        <w:t>References</w:t>
      </w:r>
    </w:p>
    <w:p w14:paraId="6B07AE22" w14:textId="77777777" w:rsidR="00E00D2E" w:rsidRPr="00825B74" w:rsidRDefault="00E00D2E" w:rsidP="00E00D2E">
      <w:pPr>
        <w:pStyle w:val="ListParagraph"/>
        <w:numPr>
          <w:ilvl w:val="0"/>
          <w:numId w:val="12"/>
        </w:numPr>
        <w:jc w:val="both"/>
        <w:rPr>
          <w:sz w:val="20"/>
          <w:lang w:val="en-US"/>
        </w:rPr>
      </w:pPr>
      <w:r w:rsidRPr="00983B69">
        <w:rPr>
          <w:sz w:val="20"/>
          <w:lang w:val="en-US"/>
        </w:rPr>
        <w:t>RP-182155</w:t>
      </w:r>
      <w:r w:rsidRPr="00AD56EE">
        <w:rPr>
          <w:lang w:val="en-US"/>
        </w:rPr>
        <w:t>,</w:t>
      </w:r>
      <w:r w:rsidRPr="00AC17BE">
        <w:rPr>
          <w:sz w:val="20"/>
          <w:lang w:val="en-US"/>
        </w:rPr>
        <w:t xml:space="preserve"> </w:t>
      </w:r>
      <w:r>
        <w:rPr>
          <w:sz w:val="20"/>
          <w:lang w:val="en-US"/>
        </w:rPr>
        <w:t>“</w:t>
      </w:r>
      <w:r w:rsidRPr="00AC17BE">
        <w:rPr>
          <w:sz w:val="20"/>
          <w:lang w:val="en-US"/>
        </w:rPr>
        <w:t>Revised SID: Stu</w:t>
      </w:r>
      <w:bookmarkStart w:id="1" w:name="_GoBack"/>
      <w:bookmarkEnd w:id="1"/>
      <w:r w:rsidRPr="00AC17BE">
        <w:rPr>
          <w:sz w:val="20"/>
          <w:lang w:val="en-US"/>
        </w:rPr>
        <w:t>dy on NR positioning support</w:t>
      </w:r>
      <w:r>
        <w:rPr>
          <w:sz w:val="20"/>
          <w:lang w:val="en-US"/>
        </w:rPr>
        <w:t xml:space="preserve">”, 3GPP RAN#81, </w:t>
      </w:r>
      <w:r w:rsidRPr="000777D9">
        <w:rPr>
          <w:sz w:val="20"/>
          <w:lang w:val="en-US"/>
        </w:rPr>
        <w:t xml:space="preserve">Gold Coast, Australia, September </w:t>
      </w:r>
      <w:r w:rsidRPr="00825B74">
        <w:rPr>
          <w:sz w:val="20"/>
          <w:lang w:val="en-US"/>
        </w:rPr>
        <w:t>10-13, 2018.</w:t>
      </w:r>
    </w:p>
    <w:p w14:paraId="20B04ACF" w14:textId="50380FCB" w:rsidR="00E00D2E" w:rsidRPr="00825B74" w:rsidRDefault="6D35A92B" w:rsidP="6D35A92B">
      <w:pPr>
        <w:pStyle w:val="ListParagraph"/>
        <w:numPr>
          <w:ilvl w:val="0"/>
          <w:numId w:val="12"/>
        </w:numPr>
        <w:jc w:val="both"/>
        <w:rPr>
          <w:sz w:val="20"/>
          <w:szCs w:val="20"/>
          <w:lang w:val="en-US"/>
        </w:rPr>
      </w:pPr>
      <w:r w:rsidRPr="00825B74">
        <w:rPr>
          <w:sz w:val="20"/>
          <w:szCs w:val="20"/>
          <w:lang w:val="en-US"/>
        </w:rPr>
        <w:t>R1-1901847, “DL based NR Positioning”, Nokia, Nokia Shanghai Bell</w:t>
      </w:r>
    </w:p>
    <w:p w14:paraId="2632B5CD" w14:textId="168355D1" w:rsidR="00E00D2E" w:rsidRPr="00825B74" w:rsidRDefault="6D35A92B" w:rsidP="6D35A92B">
      <w:pPr>
        <w:pStyle w:val="ListParagraph"/>
        <w:numPr>
          <w:ilvl w:val="0"/>
          <w:numId w:val="12"/>
        </w:numPr>
        <w:jc w:val="both"/>
        <w:rPr>
          <w:sz w:val="20"/>
          <w:szCs w:val="20"/>
          <w:lang w:val="en-US"/>
        </w:rPr>
      </w:pPr>
      <w:r w:rsidRPr="00825B74">
        <w:rPr>
          <w:sz w:val="20"/>
          <w:szCs w:val="20"/>
          <w:lang w:val="en-US"/>
        </w:rPr>
        <w:t>R1-1901848, “UL based NR Positioning”, Nokia, Nokia Shanghai Bell</w:t>
      </w:r>
    </w:p>
    <w:p w14:paraId="027541B5" w14:textId="20C03A9D" w:rsidR="00E00D2E" w:rsidRPr="00825B74" w:rsidRDefault="00E00D2E" w:rsidP="00E00D2E">
      <w:pPr>
        <w:pStyle w:val="ListParagraph"/>
        <w:numPr>
          <w:ilvl w:val="0"/>
          <w:numId w:val="12"/>
        </w:numPr>
        <w:jc w:val="both"/>
        <w:rPr>
          <w:sz w:val="20"/>
          <w:lang w:val="en-US"/>
        </w:rPr>
      </w:pPr>
      <w:r w:rsidRPr="00825B74">
        <w:rPr>
          <w:sz w:val="20"/>
          <w:lang w:val="en-US"/>
        </w:rPr>
        <w:t xml:space="preserve">Chairmen’s notes, RAN1#1901-AH, Taipei, Taiwan, January, 2019. </w:t>
      </w:r>
    </w:p>
    <w:p w14:paraId="09954B2A" w14:textId="763E8E7C" w:rsidR="00111F44" w:rsidRDefault="00111F44" w:rsidP="00E00D2E">
      <w:pPr>
        <w:pStyle w:val="ListParagraph"/>
        <w:numPr>
          <w:ilvl w:val="0"/>
          <w:numId w:val="12"/>
        </w:numPr>
        <w:jc w:val="both"/>
        <w:rPr>
          <w:sz w:val="20"/>
          <w:lang w:val="en-US"/>
        </w:rPr>
      </w:pPr>
      <w:r w:rsidRPr="00825B74">
        <w:rPr>
          <w:sz w:val="20"/>
          <w:lang w:val="en-US"/>
        </w:rPr>
        <w:t>R1</w:t>
      </w:r>
      <w:r>
        <w:rPr>
          <w:sz w:val="20"/>
          <w:lang w:val="en-US"/>
        </w:rPr>
        <w:t xml:space="preserve">-190124, “Potential Positoining Techniques – DL+UL based solutions’, Nokia, Nokia Shanghai Bell, January 2019. </w:t>
      </w:r>
    </w:p>
    <w:p w14:paraId="7FF5F37B" w14:textId="77777777" w:rsidR="00961EE9" w:rsidRDefault="00961EE9" w:rsidP="00D37A1A"/>
    <w:sectPr w:rsidR="00961E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C511E" w14:textId="77777777" w:rsidR="00B9174C" w:rsidRDefault="00B9174C">
      <w:r>
        <w:separator/>
      </w:r>
    </w:p>
  </w:endnote>
  <w:endnote w:type="continuationSeparator" w:id="0">
    <w:p w14:paraId="6BBBF251" w14:textId="77777777" w:rsidR="00B9174C" w:rsidRDefault="00B91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C3703" w14:textId="77777777" w:rsidR="00B9174C" w:rsidRDefault="00B9174C">
      <w:r>
        <w:separator/>
      </w:r>
    </w:p>
  </w:footnote>
  <w:footnote w:type="continuationSeparator" w:id="0">
    <w:p w14:paraId="690D40D0" w14:textId="77777777" w:rsidR="00B9174C" w:rsidRDefault="00B91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29558A2"/>
    <w:multiLevelType w:val="hybridMultilevel"/>
    <w:tmpl w:val="037E6154"/>
    <w:lvl w:ilvl="0" w:tplc="6F50AA66">
      <w:start w:val="1"/>
      <w:numFmt w:val="bullet"/>
      <w:lvlText w:val="•"/>
      <w:lvlJc w:val="left"/>
      <w:pPr>
        <w:tabs>
          <w:tab w:val="num" w:pos="720"/>
        </w:tabs>
        <w:ind w:left="720" w:hanging="360"/>
      </w:pPr>
      <w:rPr>
        <w:rFonts w:ascii="Arial" w:hAnsi="Arial" w:hint="default"/>
      </w:rPr>
    </w:lvl>
    <w:lvl w:ilvl="1" w:tplc="A9385442" w:tentative="1">
      <w:start w:val="1"/>
      <w:numFmt w:val="bullet"/>
      <w:lvlText w:val="•"/>
      <w:lvlJc w:val="left"/>
      <w:pPr>
        <w:tabs>
          <w:tab w:val="num" w:pos="1440"/>
        </w:tabs>
        <w:ind w:left="1440" w:hanging="360"/>
      </w:pPr>
      <w:rPr>
        <w:rFonts w:ascii="Arial" w:hAnsi="Arial" w:hint="default"/>
      </w:rPr>
    </w:lvl>
    <w:lvl w:ilvl="2" w:tplc="F0569E48" w:tentative="1">
      <w:start w:val="1"/>
      <w:numFmt w:val="bullet"/>
      <w:lvlText w:val="•"/>
      <w:lvlJc w:val="left"/>
      <w:pPr>
        <w:tabs>
          <w:tab w:val="num" w:pos="2160"/>
        </w:tabs>
        <w:ind w:left="2160" w:hanging="360"/>
      </w:pPr>
      <w:rPr>
        <w:rFonts w:ascii="Arial" w:hAnsi="Arial" w:hint="default"/>
      </w:rPr>
    </w:lvl>
    <w:lvl w:ilvl="3" w:tplc="B8868204" w:tentative="1">
      <w:start w:val="1"/>
      <w:numFmt w:val="bullet"/>
      <w:lvlText w:val="•"/>
      <w:lvlJc w:val="left"/>
      <w:pPr>
        <w:tabs>
          <w:tab w:val="num" w:pos="2880"/>
        </w:tabs>
        <w:ind w:left="2880" w:hanging="360"/>
      </w:pPr>
      <w:rPr>
        <w:rFonts w:ascii="Arial" w:hAnsi="Arial" w:hint="default"/>
      </w:rPr>
    </w:lvl>
    <w:lvl w:ilvl="4" w:tplc="424E3328" w:tentative="1">
      <w:start w:val="1"/>
      <w:numFmt w:val="bullet"/>
      <w:lvlText w:val="•"/>
      <w:lvlJc w:val="left"/>
      <w:pPr>
        <w:tabs>
          <w:tab w:val="num" w:pos="3600"/>
        </w:tabs>
        <w:ind w:left="3600" w:hanging="360"/>
      </w:pPr>
      <w:rPr>
        <w:rFonts w:ascii="Arial" w:hAnsi="Arial" w:hint="default"/>
      </w:rPr>
    </w:lvl>
    <w:lvl w:ilvl="5" w:tplc="FE860EF4" w:tentative="1">
      <w:start w:val="1"/>
      <w:numFmt w:val="bullet"/>
      <w:lvlText w:val="•"/>
      <w:lvlJc w:val="left"/>
      <w:pPr>
        <w:tabs>
          <w:tab w:val="num" w:pos="4320"/>
        </w:tabs>
        <w:ind w:left="4320" w:hanging="360"/>
      </w:pPr>
      <w:rPr>
        <w:rFonts w:ascii="Arial" w:hAnsi="Arial" w:hint="default"/>
      </w:rPr>
    </w:lvl>
    <w:lvl w:ilvl="6" w:tplc="F3F47884" w:tentative="1">
      <w:start w:val="1"/>
      <w:numFmt w:val="bullet"/>
      <w:lvlText w:val="•"/>
      <w:lvlJc w:val="left"/>
      <w:pPr>
        <w:tabs>
          <w:tab w:val="num" w:pos="5040"/>
        </w:tabs>
        <w:ind w:left="5040" w:hanging="360"/>
      </w:pPr>
      <w:rPr>
        <w:rFonts w:ascii="Arial" w:hAnsi="Arial" w:hint="default"/>
      </w:rPr>
    </w:lvl>
    <w:lvl w:ilvl="7" w:tplc="F8268E1C" w:tentative="1">
      <w:start w:val="1"/>
      <w:numFmt w:val="bullet"/>
      <w:lvlText w:val="•"/>
      <w:lvlJc w:val="left"/>
      <w:pPr>
        <w:tabs>
          <w:tab w:val="num" w:pos="5760"/>
        </w:tabs>
        <w:ind w:left="5760" w:hanging="360"/>
      </w:pPr>
      <w:rPr>
        <w:rFonts w:ascii="Arial" w:hAnsi="Arial" w:hint="default"/>
      </w:rPr>
    </w:lvl>
    <w:lvl w:ilvl="8" w:tplc="63483C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4" w15:restartNumberingAfterBreak="0">
    <w:nsid w:val="5FF05182"/>
    <w:multiLevelType w:val="hybridMultilevel"/>
    <w:tmpl w:val="6A6AC960"/>
    <w:lvl w:ilvl="0" w:tplc="1BB0800A">
      <w:start w:val="1"/>
      <w:numFmt w:val="bullet"/>
      <w:lvlText w:val="•"/>
      <w:lvlJc w:val="left"/>
      <w:pPr>
        <w:tabs>
          <w:tab w:val="num" w:pos="720"/>
        </w:tabs>
        <w:ind w:left="720" w:hanging="360"/>
      </w:pPr>
      <w:rPr>
        <w:rFonts w:ascii="Arial" w:hAnsi="Arial" w:hint="default"/>
      </w:rPr>
    </w:lvl>
    <w:lvl w:ilvl="1" w:tplc="5D3AEE46" w:tentative="1">
      <w:start w:val="1"/>
      <w:numFmt w:val="bullet"/>
      <w:lvlText w:val="•"/>
      <w:lvlJc w:val="left"/>
      <w:pPr>
        <w:tabs>
          <w:tab w:val="num" w:pos="1440"/>
        </w:tabs>
        <w:ind w:left="1440" w:hanging="360"/>
      </w:pPr>
      <w:rPr>
        <w:rFonts w:ascii="Arial" w:hAnsi="Arial" w:hint="default"/>
      </w:rPr>
    </w:lvl>
    <w:lvl w:ilvl="2" w:tplc="A12A4052" w:tentative="1">
      <w:start w:val="1"/>
      <w:numFmt w:val="bullet"/>
      <w:lvlText w:val="•"/>
      <w:lvlJc w:val="left"/>
      <w:pPr>
        <w:tabs>
          <w:tab w:val="num" w:pos="2160"/>
        </w:tabs>
        <w:ind w:left="2160" w:hanging="360"/>
      </w:pPr>
      <w:rPr>
        <w:rFonts w:ascii="Arial" w:hAnsi="Arial" w:hint="default"/>
      </w:rPr>
    </w:lvl>
    <w:lvl w:ilvl="3" w:tplc="09C41D3E" w:tentative="1">
      <w:start w:val="1"/>
      <w:numFmt w:val="bullet"/>
      <w:lvlText w:val="•"/>
      <w:lvlJc w:val="left"/>
      <w:pPr>
        <w:tabs>
          <w:tab w:val="num" w:pos="2880"/>
        </w:tabs>
        <w:ind w:left="2880" w:hanging="360"/>
      </w:pPr>
      <w:rPr>
        <w:rFonts w:ascii="Arial" w:hAnsi="Arial" w:hint="default"/>
      </w:rPr>
    </w:lvl>
    <w:lvl w:ilvl="4" w:tplc="1A881560" w:tentative="1">
      <w:start w:val="1"/>
      <w:numFmt w:val="bullet"/>
      <w:lvlText w:val="•"/>
      <w:lvlJc w:val="left"/>
      <w:pPr>
        <w:tabs>
          <w:tab w:val="num" w:pos="3600"/>
        </w:tabs>
        <w:ind w:left="3600" w:hanging="360"/>
      </w:pPr>
      <w:rPr>
        <w:rFonts w:ascii="Arial" w:hAnsi="Arial" w:hint="default"/>
      </w:rPr>
    </w:lvl>
    <w:lvl w:ilvl="5" w:tplc="46CA12BC" w:tentative="1">
      <w:start w:val="1"/>
      <w:numFmt w:val="bullet"/>
      <w:lvlText w:val="•"/>
      <w:lvlJc w:val="left"/>
      <w:pPr>
        <w:tabs>
          <w:tab w:val="num" w:pos="4320"/>
        </w:tabs>
        <w:ind w:left="4320" w:hanging="360"/>
      </w:pPr>
      <w:rPr>
        <w:rFonts w:ascii="Arial" w:hAnsi="Arial" w:hint="default"/>
      </w:rPr>
    </w:lvl>
    <w:lvl w:ilvl="6" w:tplc="206080F4" w:tentative="1">
      <w:start w:val="1"/>
      <w:numFmt w:val="bullet"/>
      <w:lvlText w:val="•"/>
      <w:lvlJc w:val="left"/>
      <w:pPr>
        <w:tabs>
          <w:tab w:val="num" w:pos="5040"/>
        </w:tabs>
        <w:ind w:left="5040" w:hanging="360"/>
      </w:pPr>
      <w:rPr>
        <w:rFonts w:ascii="Arial" w:hAnsi="Arial" w:hint="default"/>
      </w:rPr>
    </w:lvl>
    <w:lvl w:ilvl="7" w:tplc="AC247612" w:tentative="1">
      <w:start w:val="1"/>
      <w:numFmt w:val="bullet"/>
      <w:lvlText w:val="•"/>
      <w:lvlJc w:val="left"/>
      <w:pPr>
        <w:tabs>
          <w:tab w:val="num" w:pos="5760"/>
        </w:tabs>
        <w:ind w:left="5760" w:hanging="360"/>
      </w:pPr>
      <w:rPr>
        <w:rFonts w:ascii="Arial" w:hAnsi="Arial" w:hint="default"/>
      </w:rPr>
    </w:lvl>
    <w:lvl w:ilvl="8" w:tplc="0C740F5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69C0F51"/>
    <w:multiLevelType w:val="hybridMultilevel"/>
    <w:tmpl w:val="A30A3EDA"/>
    <w:lvl w:ilvl="0" w:tplc="36D03820">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0"/>
  </w:num>
  <w:num w:numId="4">
    <w:abstractNumId w:val="1"/>
  </w:num>
  <w:num w:numId="5">
    <w:abstractNumId w:val="8"/>
  </w:num>
  <w:num w:numId="6">
    <w:abstractNumId w:val="13"/>
  </w:num>
  <w:num w:numId="7">
    <w:abstractNumId w:val="9"/>
  </w:num>
  <w:num w:numId="8">
    <w:abstractNumId w:val="7"/>
  </w:num>
  <w:num w:numId="9">
    <w:abstractNumId w:val="16"/>
  </w:num>
  <w:num w:numId="10">
    <w:abstractNumId w:val="3"/>
  </w:num>
  <w:num w:numId="11">
    <w:abstractNumId w:val="10"/>
  </w:num>
  <w:num w:numId="12">
    <w:abstractNumId w:val="2"/>
  </w:num>
  <w:num w:numId="13">
    <w:abstractNumId w:val="6"/>
  </w:num>
  <w:num w:numId="14">
    <w:abstractNumId w:val="11"/>
  </w:num>
  <w:num w:numId="15">
    <w:abstractNumId w:val="15"/>
  </w:num>
  <w:num w:numId="16">
    <w:abstractNumId w:val="14"/>
  </w:num>
  <w:num w:numId="1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473D1"/>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1E08"/>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1C2"/>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7B8"/>
    <w:rsid w:val="000F4CB2"/>
    <w:rsid w:val="000F4E44"/>
    <w:rsid w:val="000F4E90"/>
    <w:rsid w:val="000F568D"/>
    <w:rsid w:val="000F68D0"/>
    <w:rsid w:val="000F6B15"/>
    <w:rsid w:val="000F7FBC"/>
    <w:rsid w:val="0010170B"/>
    <w:rsid w:val="00101C4F"/>
    <w:rsid w:val="00102C9F"/>
    <w:rsid w:val="001068D2"/>
    <w:rsid w:val="001069F2"/>
    <w:rsid w:val="001103BD"/>
    <w:rsid w:val="00110B77"/>
    <w:rsid w:val="00111208"/>
    <w:rsid w:val="001115E4"/>
    <w:rsid w:val="00111808"/>
    <w:rsid w:val="00111F44"/>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1C2"/>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11E8"/>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E7A"/>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231"/>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2EFC"/>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0C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67FB"/>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0618"/>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B60"/>
    <w:rsid w:val="00496DC2"/>
    <w:rsid w:val="00496E75"/>
    <w:rsid w:val="004A014C"/>
    <w:rsid w:val="004A0AA8"/>
    <w:rsid w:val="004A1FE4"/>
    <w:rsid w:val="004A2103"/>
    <w:rsid w:val="004A2CA9"/>
    <w:rsid w:val="004A33EF"/>
    <w:rsid w:val="004A34C9"/>
    <w:rsid w:val="004A3CB5"/>
    <w:rsid w:val="004A4D99"/>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6CE6"/>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6BAA"/>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5C99"/>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064"/>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4FE8"/>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1D9E"/>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B74"/>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5B1"/>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4FB"/>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E79"/>
    <w:rsid w:val="00A324CF"/>
    <w:rsid w:val="00A32E8B"/>
    <w:rsid w:val="00A32ED6"/>
    <w:rsid w:val="00A33776"/>
    <w:rsid w:val="00A344A5"/>
    <w:rsid w:val="00A346C3"/>
    <w:rsid w:val="00A34D4A"/>
    <w:rsid w:val="00A36155"/>
    <w:rsid w:val="00A3629E"/>
    <w:rsid w:val="00A365AD"/>
    <w:rsid w:val="00A37A57"/>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768"/>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57A2D"/>
    <w:rsid w:val="00B60471"/>
    <w:rsid w:val="00B60B8F"/>
    <w:rsid w:val="00B625CC"/>
    <w:rsid w:val="00B63337"/>
    <w:rsid w:val="00B6369F"/>
    <w:rsid w:val="00B639D7"/>
    <w:rsid w:val="00B64AA7"/>
    <w:rsid w:val="00B65452"/>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74C"/>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64CB"/>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2CB"/>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0D2E"/>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58F1"/>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4EA"/>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3455"/>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 w:val="53914D4D"/>
    <w:rsid w:val="6D35A9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869588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1891471">
      <w:bodyDiv w:val="1"/>
      <w:marLeft w:val="0"/>
      <w:marRight w:val="0"/>
      <w:marTop w:val="0"/>
      <w:marBottom w:val="0"/>
      <w:divBdr>
        <w:top w:val="none" w:sz="0" w:space="0" w:color="auto"/>
        <w:left w:val="none" w:sz="0" w:space="0" w:color="auto"/>
        <w:bottom w:val="none" w:sz="0" w:space="0" w:color="auto"/>
        <w:right w:val="none" w:sz="0" w:space="0" w:color="auto"/>
      </w:divBdr>
      <w:divsChild>
        <w:div w:id="1564756328">
          <w:marLeft w:val="44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794154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6169617">
      <w:bodyDiv w:val="1"/>
      <w:marLeft w:val="0"/>
      <w:marRight w:val="0"/>
      <w:marTop w:val="0"/>
      <w:marBottom w:val="0"/>
      <w:divBdr>
        <w:top w:val="none" w:sz="0" w:space="0" w:color="auto"/>
        <w:left w:val="none" w:sz="0" w:space="0" w:color="auto"/>
        <w:bottom w:val="none" w:sz="0" w:space="0" w:color="auto"/>
        <w:right w:val="none" w:sz="0" w:space="0" w:color="auto"/>
      </w:divBdr>
      <w:divsChild>
        <w:div w:id="2047096962">
          <w:marLeft w:val="446"/>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5AIRPNAIUNRU-1830940522-4854</_dlc_DocId>
    <_dlc_DocIdUrl xmlns="71c5aaf6-e6ce-465b-b873-5148d2a4c105">
      <Url>https://nokia.sharepoint.com/sites/c5g/5gradio/_layouts/15/DocIdRedir.aspx?ID=5AIRPNAIUNRU-1830940522-4854</Url>
      <Description>5AIRPNAIUNRU-1830940522-4854</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C6D20A2-0F19-4826-8451-BBBCE2D1F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1189</Words>
  <Characters>6024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Keating, Ryan (Nokia - US/Naperville)</cp:lastModifiedBy>
  <cp:revision>2</cp:revision>
  <cp:lastPrinted>2016-06-20T11:35:00Z</cp:lastPrinted>
  <dcterms:created xsi:type="dcterms:W3CDTF">2019-02-15T13:59:00Z</dcterms:created>
  <dcterms:modified xsi:type="dcterms:W3CDTF">2019-02-15T13:59:00Z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5d4e0653-51bc-4d89-8a70-e4f5663bedf6</vt:lpwstr>
  </property>
</Properties>
</file>